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ЛЕНИНСКОГО</w:t>
      </w:r>
      <w:proofErr w:type="gramEnd"/>
    </w:p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6E51" w:rsidRDefault="00EB6E51" w:rsidP="00EB6E51">
      <w:pPr>
        <w:jc w:val="center"/>
        <w:rPr>
          <w:b/>
          <w:szCs w:val="20"/>
        </w:rPr>
      </w:pPr>
    </w:p>
    <w:p w:rsidR="00EB6E51" w:rsidRDefault="00EB6E51" w:rsidP="00EB6E51">
      <w:pPr>
        <w:jc w:val="center"/>
        <w:rPr>
          <w:b/>
        </w:rPr>
      </w:pPr>
      <w:r>
        <w:rPr>
          <w:b/>
        </w:rPr>
        <w:t>№</w:t>
      </w:r>
      <w:r w:rsidR="00F3076E">
        <w:rPr>
          <w:b/>
        </w:rPr>
        <w:t xml:space="preserve"> 145</w:t>
      </w:r>
    </w:p>
    <w:p w:rsidR="00EB6E51" w:rsidRDefault="00EB6E51" w:rsidP="00EB6E51">
      <w:pPr>
        <w:jc w:val="center"/>
        <w:rPr>
          <w:b/>
          <w:sz w:val="28"/>
          <w:szCs w:val="28"/>
        </w:rPr>
      </w:pPr>
    </w:p>
    <w:p w:rsidR="00E83F49" w:rsidRDefault="00E83F49">
      <w:pPr>
        <w:pStyle w:val="ConsPlusNormal"/>
        <w:jc w:val="center"/>
      </w:pPr>
    </w:p>
    <w:p w:rsidR="007A61F3" w:rsidRPr="0076498D" w:rsidRDefault="007A61F3" w:rsidP="007A61F3">
      <w:pPr>
        <w:jc w:val="center"/>
        <w:rPr>
          <w:b/>
          <w:sz w:val="28"/>
          <w:szCs w:val="28"/>
        </w:rPr>
      </w:pPr>
    </w:p>
    <w:p w:rsidR="007A61F3" w:rsidRDefault="00EB6E51" w:rsidP="007A61F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42BB2">
        <w:rPr>
          <w:sz w:val="28"/>
          <w:szCs w:val="28"/>
        </w:rPr>
        <w:t xml:space="preserve"> </w:t>
      </w:r>
      <w:r w:rsidR="007A61F3">
        <w:rPr>
          <w:sz w:val="28"/>
          <w:szCs w:val="28"/>
        </w:rPr>
        <w:t xml:space="preserve"> декабря </w:t>
      </w:r>
      <w:r w:rsidR="007A61F3" w:rsidRPr="00FD75AA">
        <w:rPr>
          <w:sz w:val="28"/>
          <w:szCs w:val="28"/>
        </w:rPr>
        <w:t>20</w:t>
      </w:r>
      <w:r w:rsidR="007A61F3">
        <w:rPr>
          <w:sz w:val="28"/>
          <w:szCs w:val="28"/>
        </w:rPr>
        <w:t>21</w:t>
      </w:r>
      <w:r w:rsidR="007A61F3" w:rsidRPr="00FD75AA">
        <w:rPr>
          <w:sz w:val="28"/>
          <w:szCs w:val="28"/>
        </w:rPr>
        <w:t xml:space="preserve"> года                                                               </w:t>
      </w:r>
      <w:r w:rsidR="000E27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х.Ленинский</w:t>
      </w:r>
    </w:p>
    <w:p w:rsidR="0072542C" w:rsidRDefault="0072542C" w:rsidP="007A61F3">
      <w:pPr>
        <w:rPr>
          <w:sz w:val="28"/>
          <w:szCs w:val="28"/>
        </w:rPr>
      </w:pP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ПОЛУЧАТЕЛЕЙ СРЕДСТВ МЕСТНОГО БЮДЖЕТА </w:t>
      </w: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Pr="00723CBC" w:rsidRDefault="00EB6E51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A61F3" w:rsidRPr="00723CBC">
        <w:rPr>
          <w:b/>
          <w:sz w:val="28"/>
          <w:szCs w:val="28"/>
        </w:rPr>
        <w:t>: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42289E">
        <w:rPr>
          <w:rFonts w:ascii="Times New Roman" w:hAnsi="Times New Roman" w:cs="Times New Roman"/>
          <w:sz w:val="28"/>
          <w:szCs w:val="28"/>
        </w:rPr>
        <w:t>.</w:t>
      </w:r>
      <w:r w:rsidR="00FE109E" w:rsidRP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EB6E51">
        <w:rPr>
          <w:rFonts w:ascii="Times New Roman" w:hAnsi="Times New Roman" w:cs="Times New Roman"/>
          <w:sz w:val="28"/>
          <w:szCs w:val="28"/>
        </w:rPr>
        <w:t>постановлением</w:t>
      </w:r>
      <w:r w:rsidR="00AF7A43">
        <w:rPr>
          <w:rFonts w:ascii="Times New Roman" w:hAnsi="Times New Roman" w:cs="Times New Roman"/>
          <w:sz w:val="28"/>
          <w:szCs w:val="28"/>
        </w:rPr>
        <w:t>.</w:t>
      </w:r>
      <w:r w:rsid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Default="00EB6E51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F7A43"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</w:t>
      </w:r>
      <w:r w:rsidR="00AF7A43">
        <w:rPr>
          <w:rFonts w:ascii="Times New Roman" w:hAnsi="Times New Roman" w:cs="Times New Roman"/>
          <w:sz w:val="28"/>
          <w:szCs w:val="28"/>
        </w:rPr>
        <w:t>года.</w:t>
      </w:r>
    </w:p>
    <w:p w:rsidR="009E48A6" w:rsidRDefault="00EB6E51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подлежит опубликованию </w:t>
      </w:r>
      <w:r w:rsidR="00AF7A43">
        <w:rPr>
          <w:rFonts w:ascii="Times New Roman" w:hAnsi="Times New Roman" w:cs="Times New Roman"/>
          <w:sz w:val="28"/>
          <w:szCs w:val="28"/>
        </w:rPr>
        <w:t xml:space="preserve"> </w:t>
      </w:r>
      <w:r w:rsidR="0072542C"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нистрации Ленинского сельского поселения</w:t>
      </w:r>
      <w:r w:rsidR="0072542C">
        <w:rPr>
          <w:rFonts w:ascii="Times New Roman" w:hAnsi="Times New Roman" w:cs="Times New Roman"/>
          <w:sz w:val="28"/>
          <w:szCs w:val="28"/>
        </w:rPr>
        <w:t>.</w:t>
      </w:r>
      <w:r w:rsidR="00AF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0E27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Ленинского 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      О.И.</w:t>
      </w:r>
      <w:r w:rsidR="00F3076E">
        <w:rPr>
          <w:rFonts w:eastAsia="Arial Unicode MS"/>
          <w:color w:val="000000"/>
          <w:sz w:val="28"/>
          <w:szCs w:val="28"/>
        </w:rPr>
        <w:t xml:space="preserve"> </w:t>
      </w:r>
      <w:r w:rsidR="002924F9">
        <w:rPr>
          <w:rFonts w:eastAsia="Arial Unicode MS"/>
          <w:color w:val="000000"/>
          <w:sz w:val="28"/>
          <w:szCs w:val="28"/>
        </w:rPr>
        <w:t>Фурсова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72542C" w:rsidRDefault="002924F9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Постановление</w:t>
      </w:r>
      <w:r w:rsidR="009E48A6" w:rsidRPr="0099653C">
        <w:rPr>
          <w:rFonts w:eastAsia="Arial Unicode MS"/>
          <w:color w:val="000000"/>
          <w:sz w:val="20"/>
          <w:szCs w:val="20"/>
        </w:rPr>
        <w:t xml:space="preserve"> вносит</w:t>
      </w:r>
      <w:r w:rsidR="0072542C">
        <w:rPr>
          <w:rFonts w:eastAsia="Arial Unicode MS"/>
          <w:color w:val="000000"/>
          <w:sz w:val="20"/>
          <w:szCs w:val="20"/>
        </w:rPr>
        <w:t>:</w:t>
      </w:r>
      <w:r w:rsidR="009E48A6" w:rsidRPr="0099653C">
        <w:rPr>
          <w:rFonts w:eastAsia="Arial Unicode MS"/>
          <w:color w:val="000000"/>
          <w:sz w:val="20"/>
          <w:szCs w:val="20"/>
        </w:rPr>
        <w:t xml:space="preserve"> </w:t>
      </w:r>
    </w:p>
    <w:p w:rsidR="009E48A6" w:rsidRDefault="0072542C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</w:t>
      </w:r>
      <w:r w:rsidR="0099653C" w:rsidRPr="0099653C">
        <w:rPr>
          <w:rFonts w:eastAsia="Arial Unicode MS"/>
          <w:color w:val="000000"/>
          <w:sz w:val="20"/>
          <w:szCs w:val="20"/>
        </w:rPr>
        <w:t xml:space="preserve">ектор </w:t>
      </w:r>
      <w:r w:rsidR="002924F9">
        <w:rPr>
          <w:rFonts w:eastAsia="Arial Unicode MS"/>
          <w:color w:val="000000"/>
          <w:sz w:val="20"/>
          <w:szCs w:val="20"/>
        </w:rPr>
        <w:t xml:space="preserve">экономики и </w:t>
      </w:r>
    </w:p>
    <w:p w:rsidR="002924F9" w:rsidRPr="0099653C" w:rsidRDefault="002924F9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финансов</w:t>
      </w:r>
    </w:p>
    <w:p w:rsidR="0099653C" w:rsidRDefault="00996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924F9" w:rsidRDefault="009E4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24F9">
        <w:rPr>
          <w:rFonts w:ascii="Times New Roman" w:hAnsi="Times New Roman" w:cs="Times New Roman"/>
          <w:sz w:val="28"/>
          <w:szCs w:val="28"/>
        </w:rPr>
        <w:t>Ленинского</w:t>
      </w:r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F49" w:rsidRPr="0042289E" w:rsidRDefault="00F30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F49" w:rsidRPr="009965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24F9">
        <w:rPr>
          <w:rFonts w:ascii="Times New Roman" w:hAnsi="Times New Roman" w:cs="Times New Roman"/>
          <w:sz w:val="28"/>
          <w:szCs w:val="28"/>
        </w:rPr>
        <w:t>30</w:t>
      </w:r>
      <w:r w:rsidR="00E83F49"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="00E83F49"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49"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2C712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 xml:space="preserve">Отделом № </w:t>
      </w:r>
      <w:r w:rsidR="00DD352C">
        <w:rPr>
          <w:rFonts w:ascii="Times New Roman" w:hAnsi="Times New Roman" w:cs="Times New Roman"/>
          <w:sz w:val="28"/>
          <w:szCs w:val="28"/>
        </w:rPr>
        <w:t>42</w:t>
      </w:r>
      <w:r w:rsidR="00DC549A">
        <w:rPr>
          <w:rFonts w:ascii="Times New Roman" w:hAnsi="Times New Roman" w:cs="Times New Roman"/>
          <w:sz w:val="28"/>
          <w:szCs w:val="28"/>
        </w:rPr>
        <w:t xml:space="preserve">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E102B0">
        <w:rPr>
          <w:rFonts w:ascii="Times New Roman" w:hAnsi="Times New Roman" w:cs="Times New Roman"/>
          <w:sz w:val="28"/>
          <w:szCs w:val="28"/>
        </w:rPr>
        <w:t xml:space="preserve"> 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791351">
        <w:rPr>
          <w:rFonts w:ascii="Times New Roman" w:hAnsi="Times New Roman" w:cs="Times New Roman"/>
          <w:sz w:val="28"/>
          <w:szCs w:val="28"/>
        </w:rPr>
        <w:t xml:space="preserve"> 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</w:t>
      </w:r>
      <w:r w:rsidRPr="0042289E">
        <w:rPr>
          <w:rFonts w:ascii="Times New Roman" w:hAnsi="Times New Roman" w:cs="Times New Roman"/>
          <w:sz w:val="28"/>
          <w:szCs w:val="28"/>
        </w:rPr>
        <w:lastRenderedPageBreak/>
        <w:t>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и внесение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r w:rsidR="00213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</w:t>
      </w:r>
      <w:r w:rsidR="00F70E1A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с расчетом годового фонда оплаты труда (иного</w:t>
      </w:r>
      <w:proofErr w:type="gramEnd"/>
      <w:r w:rsidR="0010673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C41F6">
        <w:rPr>
          <w:rFonts w:ascii="Times New Roman" w:hAnsi="Times New Roman" w:cs="Times New Roman"/>
          <w:sz w:val="28"/>
          <w:szCs w:val="28"/>
        </w:rPr>
        <w:t xml:space="preserve"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</w:t>
      </w:r>
      <w:r w:rsidR="005C41F6">
        <w:rPr>
          <w:rFonts w:ascii="Times New Roman" w:hAnsi="Times New Roman" w:cs="Times New Roman"/>
          <w:sz w:val="28"/>
          <w:szCs w:val="28"/>
        </w:rPr>
        <w:lastRenderedPageBreak/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  <w:proofErr w:type="gramEnd"/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E0">
        <w:rPr>
          <w:rFonts w:ascii="Times New Roman" w:hAnsi="Times New Roman" w:cs="Times New Roman"/>
          <w:sz w:val="28"/>
          <w:szCs w:val="28"/>
        </w:rPr>
        <w:t>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носителе,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  <w:proofErr w:type="gramEnd"/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1по 8 разряд – уникальный код получателя средств местного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 получателю средств местного бюджета уведомление в электронной 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в части аннулирования соответствующих 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Денежное обязательство  формируется органом Федерального 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9E3E14" w:rsidP="00A940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t xml:space="preserve"> 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285B39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7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органам муниципальной власти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в рамках их полномочий, установленных законодательством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финансового отдела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либо иного органа муниципальной власти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уполномоченного </w:t>
      </w:r>
      <w:r w:rsidR="006628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 w:rsidR="006628F6">
        <w:rPr>
          <w:rFonts w:ascii="Times New Roman" w:hAnsi="Times New Roman" w:cs="Times New Roman"/>
          <w:sz w:val="28"/>
          <w:szCs w:val="28"/>
        </w:rPr>
        <w:t xml:space="preserve"> района 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бюджетных или денежных обязательствах, </w:t>
      </w:r>
      <w:r>
        <w:rPr>
          <w:rFonts w:ascii="Times New Roman" w:hAnsi="Times New Roman" w:cs="Times New Roman"/>
          <w:sz w:val="28"/>
          <w:szCs w:val="28"/>
        </w:rPr>
        <w:lastRenderedPageBreak/>
        <w:t>реквизиты которой установлены приложением 7 к Порядку Минфина России, 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2C6DBB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 w:rsidR="002C6DBB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Минфина России, сформированную нарастающим итогом с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7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1F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D8">
        <w:rPr>
          <w:rFonts w:ascii="Times New Roman" w:hAnsi="Times New Roman" w:cs="Times New Roman"/>
          <w:sz w:val="28"/>
          <w:szCs w:val="28"/>
        </w:rPr>
        <w:t>остатках</w:t>
      </w:r>
      <w:proofErr w:type="gramEnd"/>
      <w:r w:rsidR="001F69D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A632F3" w:rsidRDefault="002924F9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 Администрации Ленинского сельского поселения</w:t>
      </w:r>
      <w:r w:rsidR="00A632F3">
        <w:rPr>
          <w:rFonts w:ascii="Times New Roman" w:hAnsi="Times New Roman" w:cs="Times New Roman"/>
          <w:sz w:val="28"/>
          <w:szCs w:val="28"/>
        </w:rPr>
        <w:t xml:space="preserve">  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</w:t>
      </w:r>
      <w:r w:rsidRPr="0029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Ленинского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551B8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к Пор</w:t>
      </w:r>
      <w:r w:rsidR="008551B8">
        <w:rPr>
          <w:rFonts w:ascii="Times New Roman" w:hAnsi="Times New Roman" w:cs="Times New Roman"/>
          <w:sz w:val="28"/>
          <w:szCs w:val="28"/>
        </w:rPr>
        <w:t xml:space="preserve">ядку учета </w:t>
      </w:r>
      <w:proofErr w:type="gramStart"/>
      <w:r w:rsidR="008551B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8551B8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</w:p>
    <w:p w:rsidR="00E83F49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B8" w:rsidRPr="0042289E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сельского поселения  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2924F9">
        <w:rPr>
          <w:rFonts w:ascii="Times New Roman" w:hAnsi="Times New Roman" w:cs="Times New Roman"/>
          <w:sz w:val="28"/>
          <w:szCs w:val="28"/>
        </w:rPr>
        <w:t>30.</w:t>
      </w:r>
      <w:r w:rsidRPr="0099653C">
        <w:rPr>
          <w:rFonts w:ascii="Times New Roman" w:hAnsi="Times New Roman" w:cs="Times New Roman"/>
          <w:sz w:val="28"/>
          <w:szCs w:val="28"/>
        </w:rPr>
        <w:t>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</w:t>
      </w:r>
      <w:r w:rsidR="002924F9">
        <w:rPr>
          <w:rFonts w:ascii="Times New Roman" w:hAnsi="Times New Roman" w:cs="Times New Roman"/>
          <w:sz w:val="28"/>
          <w:szCs w:val="28"/>
        </w:rPr>
        <w:t xml:space="preserve"> </w:t>
      </w:r>
      <w:r w:rsidRPr="0099653C">
        <w:rPr>
          <w:rFonts w:ascii="Times New Roman" w:hAnsi="Times New Roman" w:cs="Times New Roman"/>
          <w:sz w:val="28"/>
          <w:szCs w:val="28"/>
        </w:rPr>
        <w:t xml:space="preserve">N </w:t>
      </w:r>
      <w:r w:rsidR="00F3076E">
        <w:rPr>
          <w:rFonts w:ascii="Times New Roman" w:hAnsi="Times New Roman" w:cs="Times New Roman"/>
          <w:sz w:val="28"/>
          <w:szCs w:val="28"/>
        </w:rPr>
        <w:t>145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162"/>
      </w:tblGrid>
      <w:tr w:rsidR="00E83F49" w:rsidRPr="0042289E" w:rsidTr="00B2178C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85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855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855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>Ленинского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6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Ленинского сельского поселения 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1"/>
            <w:bookmarkEnd w:id="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5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</w:tcPr>
          <w:p w:rsidR="00E83F49" w:rsidRPr="0042289E" w:rsidRDefault="00E83F49" w:rsidP="00587A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документа,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1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Вид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21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5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) в контракте (договоре), "извещении об осуществлении закупки", "приглашении принять участие в определении поставщика (подрядчика,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исполнителя)", "проекте контракта".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1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6162" w:type="dxa"/>
          </w:tcPr>
          <w:p w:rsidR="00E83F49" w:rsidRPr="0007082C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3208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0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бюджета, с приложением соответствующего расчета.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4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7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9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9509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0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документ-основание.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6.16. Номер уведомления о поступлении исполнительного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6.18.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3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6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83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(казначейского) счета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7.9. Корреспондентский счет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E83F49" w:rsidRPr="0042289E" w:rsidRDefault="00E83F49" w:rsidP="003D1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Признак безусловности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Pr="0042289E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30" w:rsidRDefault="00A1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Pr="0042289E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F5CE2">
        <w:rPr>
          <w:rFonts w:ascii="Times New Roman" w:hAnsi="Times New Roman" w:cs="Times New Roman"/>
          <w:sz w:val="28"/>
          <w:szCs w:val="28"/>
        </w:rPr>
        <w:t>2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к Порядку учета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7C01B0" w:rsidP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BB5A29" w:rsidRDefault="00E83F4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</w:t>
      </w:r>
      <w:r w:rsidR="002924F9">
        <w:rPr>
          <w:rFonts w:ascii="Times New Roman" w:hAnsi="Times New Roman" w:cs="Times New Roman"/>
          <w:sz w:val="28"/>
          <w:szCs w:val="28"/>
        </w:rPr>
        <w:t>твержденному</w:t>
      </w:r>
      <w:proofErr w:type="gramEnd"/>
      <w:r w:rsidR="002924F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83F49" w:rsidRPr="0042289E" w:rsidRDefault="00BB5A2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сельского поселения  </w:t>
      </w:r>
    </w:p>
    <w:p w:rsidR="00E83F49" w:rsidRPr="0042289E" w:rsidRDefault="00E83F49" w:rsidP="00996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BB5A29">
        <w:rPr>
          <w:rFonts w:ascii="Times New Roman" w:hAnsi="Times New Roman" w:cs="Times New Roman"/>
          <w:sz w:val="28"/>
          <w:szCs w:val="28"/>
        </w:rPr>
        <w:t>30.</w:t>
      </w:r>
      <w:r w:rsidRPr="0099653C">
        <w:rPr>
          <w:rFonts w:ascii="Times New Roman" w:hAnsi="Times New Roman" w:cs="Times New Roman"/>
          <w:sz w:val="28"/>
          <w:szCs w:val="28"/>
        </w:rPr>
        <w:t>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2C712E">
        <w:rPr>
          <w:rFonts w:ascii="Times New Roman" w:hAnsi="Times New Roman" w:cs="Times New Roman"/>
          <w:sz w:val="28"/>
          <w:szCs w:val="28"/>
        </w:rPr>
        <w:t>__</w:t>
      </w: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6"/>
      <w:bookmarkEnd w:id="14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83F4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678"/>
      </w:tblGrid>
      <w:tr w:rsidR="007C28D0" w:rsidRPr="0042289E" w:rsidTr="007C28D0">
        <w:tc>
          <w:tcPr>
            <w:tcW w:w="530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7C28D0">
        <w:tc>
          <w:tcPr>
            <w:tcW w:w="530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546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7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58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10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71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1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7C28D0">
        <w:trPr>
          <w:trHeight w:val="1164"/>
        </w:trPr>
        <w:tc>
          <w:tcPr>
            <w:tcW w:w="5307" w:type="dxa"/>
            <w:vMerge w:val="restart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84"/>
            <w:bookmarkEnd w:id="19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3.Соглашение о предоставлении из бюджета района бюджету сельского поселения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678" w:type="dxa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7C28D0">
        <w:trPr>
          <w:trHeight w:val="3007"/>
        </w:trPr>
        <w:tc>
          <w:tcPr>
            <w:tcW w:w="5307" w:type="dxa"/>
            <w:vMerge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8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 на сумму целевых расходов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перечислении 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3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97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  <w:hyperlink r:id="rId14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5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F9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603"/>
            <w:bookmarkEnd w:id="21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</w:t>
            </w:r>
            <w:proofErr w:type="gramEnd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6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7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F3076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24"/>
            <w:bookmarkStart w:id="23" w:name="_GoBack"/>
            <w:bookmarkEnd w:id="22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 xml:space="preserve">7.Нормативный правовой акт, предусматривающий предоставление субсидии юридическому лицу, если порядком (правилами) предоставления </w:t>
            </w:r>
            <w:r w:rsidRPr="00F3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  <w:bookmarkEnd w:id="23"/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юридического лица (в случае осуществления в соответствии с законодательством Российской Федерации казначейского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предоставления субсидии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8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33"/>
            <w:bookmarkEnd w:id="2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19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1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2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3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расчет (ф.0504505)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7C28D0">
        <w:trPr>
          <w:trHeight w:val="263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rPr>
          <w:trHeight w:val="157"/>
        </w:trPr>
        <w:tc>
          <w:tcPr>
            <w:tcW w:w="530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средств местного бюджета с физическим лицом, не являющимся индивидуальным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678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24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0E27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49"/>
    <w:rsid w:val="00011B46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734"/>
    <w:rsid w:val="00132E02"/>
    <w:rsid w:val="00144769"/>
    <w:rsid w:val="001C3748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924F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525C"/>
    <w:rsid w:val="00575755"/>
    <w:rsid w:val="00587A6E"/>
    <w:rsid w:val="005C41F6"/>
    <w:rsid w:val="006327F4"/>
    <w:rsid w:val="006628F6"/>
    <w:rsid w:val="006A669A"/>
    <w:rsid w:val="006B21FC"/>
    <w:rsid w:val="006C7135"/>
    <w:rsid w:val="00705E3F"/>
    <w:rsid w:val="0072542C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F7A43"/>
    <w:rsid w:val="00B2178C"/>
    <w:rsid w:val="00B316ED"/>
    <w:rsid w:val="00B42BB2"/>
    <w:rsid w:val="00B60949"/>
    <w:rsid w:val="00B74614"/>
    <w:rsid w:val="00BB5A29"/>
    <w:rsid w:val="00BD171E"/>
    <w:rsid w:val="00BE1755"/>
    <w:rsid w:val="00C0442B"/>
    <w:rsid w:val="00C41044"/>
    <w:rsid w:val="00C535B1"/>
    <w:rsid w:val="00C94EE8"/>
    <w:rsid w:val="00CB0065"/>
    <w:rsid w:val="00CF3FC5"/>
    <w:rsid w:val="00D0437E"/>
    <w:rsid w:val="00D44539"/>
    <w:rsid w:val="00D6471D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83F49"/>
    <w:rsid w:val="00EB608B"/>
    <w:rsid w:val="00EB6E51"/>
    <w:rsid w:val="00ED4312"/>
    <w:rsid w:val="00EF356A"/>
    <w:rsid w:val="00F064B4"/>
    <w:rsid w:val="00F10150"/>
    <w:rsid w:val="00F226AA"/>
    <w:rsid w:val="00F3076E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8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7" Type="http://schemas.openxmlformats.org/officeDocument/2006/relationships/hyperlink" Target="consultantplus://offline/ref=1CC99B4EC4DC8973C55FD18142E17F047A8D9E6AD87CE6A49A6A212767049CECA26D62F0F69B09B24A429A73BBI1Y2F" TargetMode="External"/><Relationship Id="rId12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7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0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88D9F62DB7DE6A49A6A212767049CECA26D62F0F69B09B24A429A73BBI1Y2F" TargetMode="External"/><Relationship Id="rId11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4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5" Type="http://schemas.openxmlformats.org/officeDocument/2006/relationships/hyperlink" Target="consultantplus://offline/ref=1CC99B4EC4DC8973C55FD18142E17F04788D9F62DB7DE6A49A6A212767049CECA26D62F0F69B09B24A429A73BBI1Y2F" TargetMode="External"/><Relationship Id="rId15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3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10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9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99B4EC4DC8973C55FD18142E17F047A8D9E6AD87CE6A49A6A212767049CECA26D62F0F69B09B24A429A73BBI1Y2F" TargetMode="External"/><Relationship Id="rId14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22" Type="http://schemas.openxmlformats.org/officeDocument/2006/relationships/hyperlink" Target="consultantplus://offline/ref=1CC99B4EC4DC8973C55FD18142E17F047A8F946DD87BE6A49A6A212767049CECB06D3AFCF79814B54E57CC22FD4610BBED3B7B056991FD5CI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9738</Words>
  <Characters>55512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UserPC</cp:lastModifiedBy>
  <cp:revision>11</cp:revision>
  <cp:lastPrinted>2021-12-30T11:49:00Z</cp:lastPrinted>
  <dcterms:created xsi:type="dcterms:W3CDTF">2021-12-28T13:49:00Z</dcterms:created>
  <dcterms:modified xsi:type="dcterms:W3CDTF">2022-01-11T07:42:00Z</dcterms:modified>
</cp:coreProperties>
</file>